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075" cy="75247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5pt;height:59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  <w:t xml:space="preserve">НСПД</w:t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Все земельные участки Новосибирской области переоценят в 2026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Управление Росреестра по Новосибирской области информирует, что в 2026 году </w:t>
      </w:r>
      <w:r>
        <w:rPr>
          <w:rFonts w:eastAsia="PT Astra Serif"/>
          <w:sz w:val="28"/>
          <w:szCs w:val="28"/>
        </w:rPr>
        <w:t xml:space="preserve">в регионе </w:t>
      </w:r>
      <w:r>
        <w:rPr>
          <w:rFonts w:eastAsia="PT Astra Serif"/>
          <w:sz w:val="28"/>
          <w:szCs w:val="28"/>
        </w:rPr>
        <w:t xml:space="preserve">будет проведена государственная кадастровая оценка всех земельных участков</w:t>
      </w:r>
      <w:r>
        <w:rPr>
          <w:rFonts w:eastAsia="PT Astra Serif"/>
          <w:sz w:val="28"/>
          <w:szCs w:val="28"/>
        </w:rPr>
        <w:t xml:space="preserve"> всех категорий земель</w:t>
      </w:r>
      <w:r>
        <w:rPr>
          <w:rFonts w:eastAsia="PT Astra Serif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Переоценку пройдут более миллиона земельных участков, сведения о которых будут содержаться в Еди</w:t>
      </w:r>
      <w:r>
        <w:rPr>
          <w:rFonts w:eastAsia="PT Astra Serif"/>
          <w:sz w:val="28"/>
          <w:szCs w:val="28"/>
        </w:rPr>
        <w:t xml:space="preserve">ном государственном реестре недвижимости по состоянию на 1 января 2026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Работы по государственной кадастровой оценке земель будет выполнять государственное бюджетное учреждение Новосибирской области «Новосибирский центр кадастровой оценки и инвентариз</w:t>
      </w:r>
      <w:r>
        <w:rPr>
          <w:rFonts w:eastAsia="PT Astra Serif"/>
          <w:sz w:val="28"/>
          <w:szCs w:val="28"/>
        </w:rPr>
        <w:t xml:space="preserve">ации» (ГБУ НСО «ЦКО и БТИ»).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земельных участков вправе предоставить в ГБУ НСО «ЦКО и БТИ» декларации об их характеристиках.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Подача декларации поможет и</w:t>
      </w:r>
      <w:r>
        <w:rPr>
          <w:rFonts w:eastAsia="PT Astra Serif"/>
          <w:sz w:val="28"/>
          <w:szCs w:val="28"/>
        </w:rPr>
        <w:t xml:space="preserve">збежать ошибок при проведении государственной кадастровой оценки и повысить точность определения кадастровой стоимости имущества.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Форма декларации размещена на официальном сайте </w:t>
      </w:r>
      <w:hyperlink r:id="rId10" w:tooltip="https://noti.ru/" w:history="1">
        <w:r>
          <w:rPr>
            <w:rStyle w:val="851"/>
            <w:rFonts w:eastAsia="PT Astra Serif"/>
            <w:sz w:val="28"/>
            <w:szCs w:val="28"/>
          </w:rPr>
          <w:t xml:space="preserve">ГБУ НСО «ЦКО и БТИ»</w:t>
        </w:r>
      </w:hyperlink>
      <w:r>
        <w:rPr>
          <w:rFonts w:eastAsia="PT Astra Serif"/>
          <w:sz w:val="28"/>
          <w:szCs w:val="28"/>
        </w:rPr>
        <w:t xml:space="preserve"> </w:t>
      </w:r>
      <w:r>
        <w:rPr>
          <w:rFonts w:eastAsia="PT Astra Serif"/>
          <w:sz w:val="28"/>
          <w:szCs w:val="28"/>
        </w:rPr>
        <w:t xml:space="preserve"> в разделе «Кадастровая оценка».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Подать декларацию </w:t>
      </w:r>
      <w:r>
        <w:rPr>
          <w:rFonts w:eastAsia="PT Astra Serif"/>
          <w:sz w:val="28"/>
          <w:szCs w:val="28"/>
        </w:rPr>
        <w:t xml:space="preserve">в ГБУ НСО «ЦКО и БТИ можно несколькими способами: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- почтовым отправлением в адрес: 630004, Новосибирская область, </w:t>
      </w:r>
      <w:r>
        <w:rPr>
          <w:rFonts w:eastAsia="PT Astra Serif"/>
          <w:sz w:val="28"/>
          <w:szCs w:val="28"/>
        </w:rPr>
        <w:br/>
      </w:r>
      <w:r>
        <w:rPr>
          <w:rFonts w:eastAsia="PT Astra Serif"/>
          <w:sz w:val="28"/>
          <w:szCs w:val="28"/>
        </w:rPr>
        <w:t xml:space="preserve">г</w:t>
      </w:r>
      <w:r>
        <w:rPr>
          <w:rFonts w:eastAsia="PT Astra Serif"/>
          <w:sz w:val="28"/>
          <w:szCs w:val="28"/>
        </w:rPr>
        <w:t xml:space="preserve">. Новосибирск, ул. Сибирская, 15;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- на адрес </w:t>
      </w:r>
      <w:r>
        <w:rPr>
          <w:rFonts w:eastAsia="PT Astra Serif"/>
          <w:sz w:val="28"/>
          <w:szCs w:val="28"/>
        </w:rPr>
        <w:t xml:space="preserve">электронной почты: </w:t>
      </w:r>
      <w:r>
        <w:rPr>
          <w:rFonts w:eastAsia="PT Astra Serif"/>
          <w:sz w:val="28"/>
          <w:szCs w:val="28"/>
        </w:rPr>
        <w:t xml:space="preserve">declar@noti.ru</w:t>
      </w:r>
      <w:r>
        <w:rPr>
          <w:rFonts w:eastAsia="PT Astra Serif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- непосредственно при личном обращении в ГБУ НСО «ЦКО и БТИ</w:t>
      </w:r>
      <w:r>
        <w:rPr>
          <w:rFonts w:eastAsia="PT Astra Serif"/>
          <w:sz w:val="28"/>
          <w:szCs w:val="28"/>
        </w:rPr>
        <w:t xml:space="preserve">» по адресу: г. Новосибирск, ул. </w:t>
      </w:r>
      <w:r>
        <w:rPr>
          <w:rFonts w:eastAsia="PT Astra Serif"/>
          <w:sz w:val="28"/>
          <w:szCs w:val="28"/>
        </w:rPr>
        <w:t xml:space="preserve">Сибирская</w:t>
      </w:r>
      <w:r>
        <w:rPr>
          <w:rFonts w:eastAsia="PT Astra Serif"/>
          <w:sz w:val="28"/>
          <w:szCs w:val="28"/>
        </w:rPr>
        <w:t xml:space="preserve">, 15.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rFonts w:eastAsia="PT Astra Serif"/>
          <w:i/>
          <w:sz w:val="28"/>
          <w:szCs w:val="28"/>
        </w:rPr>
        <w:t xml:space="preserve">Справочно: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79"/>
        <w:ind w:firstLine="709"/>
        <w:jc w:val="both"/>
        <w:rPr>
          <w:rFonts w:ascii="Times New Roman" w:hAnsi="Times New Roman" w:eastAsia="PT Astra Serif"/>
          <w:i/>
          <w:iCs/>
          <w:sz w:val="28"/>
          <w:szCs w:val="28"/>
        </w:rPr>
      </w:pPr>
      <w:r>
        <w:rPr>
          <w:rFonts w:ascii="Times New Roman" w:hAnsi="Times New Roman" w:eastAsia="PT Astra Serif"/>
          <w:i/>
          <w:sz w:val="28"/>
          <w:szCs w:val="28"/>
        </w:rPr>
        <w:t xml:space="preserve">Форма декларации и порядок ее рассмотрения утверждены приказом </w:t>
      </w:r>
      <w:r>
        <w:rPr>
          <w:rFonts w:ascii="Times New Roman" w:hAnsi="Times New Roman" w:eastAsia="PT Astra Serif"/>
          <w:i/>
          <w:iCs/>
          <w:sz w:val="28"/>
          <w:szCs w:val="28"/>
        </w:rPr>
        <w:t xml:space="preserve">Росреестра от 24.05.2021 № </w:t>
      </w:r>
      <w:r>
        <w:rPr>
          <w:rFonts w:ascii="Times New Roman" w:hAnsi="Times New Roman" w:eastAsia="PT Astra Serif"/>
          <w:i/>
          <w:iCs/>
          <w:sz w:val="28"/>
          <w:szCs w:val="28"/>
        </w:rPr>
        <w:t xml:space="preserve">П</w:t>
      </w:r>
      <w:r>
        <w:rPr>
          <w:rFonts w:ascii="Times New Roman" w:hAnsi="Times New Roman" w:eastAsia="PT Astra Serif"/>
          <w:i/>
          <w:iCs/>
          <w:sz w:val="28"/>
          <w:szCs w:val="28"/>
        </w:rPr>
        <w:t xml:space="preserve">/0216.</w:t>
      </w:r>
      <w:r>
        <w:rPr>
          <w:rFonts w:ascii="Times New Roman" w:hAnsi="Times New Roman" w:eastAsia="PT Astra Serif"/>
          <w:i/>
          <w:iCs/>
          <w:sz w:val="28"/>
          <w:szCs w:val="28"/>
        </w:rPr>
      </w:r>
      <w:r>
        <w:rPr>
          <w:rFonts w:ascii="Times New Roman" w:hAnsi="Times New Roman" w:eastAsia="PT Astra Serif"/>
          <w:i/>
          <w:iCs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материал подготовлен Управлением Росреестра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  <w:sz w:val="10"/>
        </w:rPr>
      </w:pP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</w:p>
    <w:p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val 0"/>
                            <a:gd name="gd10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1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l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sectPr>
      <w:footnotePr/>
      <w:endnotePr/>
      <w:type w:val="nextPage"/>
      <w:pgSz w:w="11906" w:h="16838" w:orient="portrait"/>
      <w:pgMar w:top="851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Liberation Serif">
    <w:panose1 w:val="02020603050405020304"/>
  </w:font>
  <w:font w:name="Tahoma">
    <w:panose1 w:val="020B0604030504040204"/>
  </w:font>
  <w:font w:name="Quattrocento Sans">
    <w:panose1 w:val="02000603000000000000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697"/>
    <w:link w:val="711"/>
    <w:uiPriority w:val="10"/>
    <w:rPr>
      <w:sz w:val="48"/>
      <w:szCs w:val="48"/>
    </w:rPr>
  </w:style>
  <w:style w:type="character" w:styleId="680">
    <w:name w:val="Subtitle Char"/>
    <w:basedOn w:val="697"/>
    <w:link w:val="713"/>
    <w:uiPriority w:val="11"/>
    <w:rPr>
      <w:sz w:val="24"/>
      <w:szCs w:val="24"/>
    </w:rPr>
  </w:style>
  <w:style w:type="character" w:styleId="681">
    <w:name w:val="Quote Char"/>
    <w:link w:val="715"/>
    <w:uiPriority w:val="29"/>
    <w:rPr>
      <w:i/>
    </w:rPr>
  </w:style>
  <w:style w:type="character" w:styleId="682">
    <w:name w:val="Intense Quote Char"/>
    <w:link w:val="717"/>
    <w:uiPriority w:val="30"/>
    <w:rPr>
      <w:i/>
    </w:rPr>
  </w:style>
  <w:style w:type="character" w:styleId="683">
    <w:name w:val="Header Char"/>
    <w:basedOn w:val="697"/>
    <w:link w:val="719"/>
    <w:uiPriority w:val="99"/>
  </w:style>
  <w:style w:type="character" w:styleId="684">
    <w:name w:val="Caption Char"/>
    <w:basedOn w:val="723"/>
    <w:link w:val="721"/>
    <w:uiPriority w:val="99"/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sz w:val="24"/>
      <w:szCs w:val="24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link w:val="70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10">
    <w:name w:val="No Spacing"/>
    <w:uiPriority w:val="1"/>
    <w:qFormat/>
    <w:rPr>
      <w:lang w:eastAsia="zh-CN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link w:val="719"/>
    <w:uiPriority w:val="99"/>
  </w:style>
  <w:style w:type="paragraph" w:styleId="721">
    <w:name w:val="Footer"/>
    <w:basedOn w:val="687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Нижний колонтитул Знак"/>
    <w:link w:val="721"/>
    <w:uiPriority w:val="99"/>
  </w:style>
  <w:style w:type="table" w:styleId="725">
    <w:name w:val="Table Grid"/>
    <w:basedOn w:val="698"/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paragraph" w:styleId="869">
    <w:name w:val="Balloon Text"/>
    <w:basedOn w:val="687"/>
    <w:semiHidden/>
    <w:rPr>
      <w:rFonts w:ascii="Tahoma" w:hAnsi="Tahoma" w:cs="Tahoma"/>
      <w:sz w:val="16"/>
      <w:szCs w:val="16"/>
    </w:rPr>
  </w:style>
  <w:style w:type="paragraph" w:styleId="870">
    <w:name w:val="Body Text Indent"/>
    <w:basedOn w:val="687"/>
    <w:pPr>
      <w:ind w:left="6481"/>
      <w:spacing w:before="2400"/>
    </w:pPr>
    <w:rPr>
      <w:sz w:val="28"/>
      <w:szCs w:val="20"/>
    </w:rPr>
  </w:style>
  <w:style w:type="paragraph" w:styleId="871">
    <w:name w:val="Body Text"/>
    <w:basedOn w:val="687"/>
    <w:pPr>
      <w:spacing w:after="120"/>
    </w:pPr>
  </w:style>
  <w:style w:type="paragraph" w:styleId="872">
    <w:name w:val="Normal (Web)"/>
    <w:basedOn w:val="687"/>
    <w:uiPriority w:val="99"/>
    <w:pPr>
      <w:spacing w:before="100" w:beforeAutospacing="1" w:after="100" w:afterAutospacing="1"/>
    </w:pPr>
  </w:style>
  <w:style w:type="character" w:styleId="873" w:customStyle="1">
    <w:name w:val="apple-converted-space"/>
    <w:basedOn w:val="697"/>
  </w:style>
  <w:style w:type="character" w:styleId="874" w:customStyle="1">
    <w:name w:val="visited"/>
    <w:basedOn w:val="697"/>
  </w:style>
  <w:style w:type="character" w:styleId="875" w:customStyle="1">
    <w:name w:val="blk"/>
    <w:basedOn w:val="697"/>
  </w:style>
  <w:style w:type="character" w:styleId="876" w:customStyle="1">
    <w:name w:val="match"/>
    <w:basedOn w:val="697"/>
  </w:style>
  <w:style w:type="paragraph" w:styleId="877" w:customStyle="1">
    <w:name w:val="formattext topleveltext"/>
    <w:basedOn w:val="687"/>
    <w:pPr>
      <w:spacing w:before="100" w:beforeAutospacing="1" w:after="100" w:afterAutospacing="1"/>
    </w:pPr>
  </w:style>
  <w:style w:type="paragraph" w:styleId="878">
    <w:name w:val="Body Text Indent 2"/>
    <w:basedOn w:val="687"/>
    <w:pPr>
      <w:ind w:left="283"/>
      <w:spacing w:after="120" w:line="480" w:lineRule="auto"/>
    </w:pPr>
  </w:style>
  <w:style w:type="paragraph" w:styleId="879" w:customStyle="1">
    <w:name w:val="ConsPlusNormal"/>
    <w:link w:val="881"/>
    <w:rPr>
      <w:sz w:val="26"/>
      <w:szCs w:val="26"/>
    </w:rPr>
  </w:style>
  <w:style w:type="paragraph" w:styleId="880" w:customStyle="1">
    <w:name w:val="Знак Знак Знак Знак Знак Знак Знак Знак Знак Знак Знак Знак"/>
    <w:basedOn w:val="687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81" w:customStyle="1">
    <w:name w:val="ConsPlusNormal Знак"/>
    <w:link w:val="879"/>
    <w:rPr>
      <w:sz w:val="26"/>
      <w:szCs w:val="26"/>
      <w:lang w:val="ru-RU" w:eastAsia="ru-RU" w:bidi="ar-SA"/>
    </w:rPr>
  </w:style>
  <w:style w:type="paragraph" w:styleId="882" w:customStyle="1">
    <w:name w:val="Название"/>
    <w:basedOn w:val="687"/>
    <w:link w:val="883"/>
    <w:qFormat/>
    <w:pPr>
      <w:ind w:firstLine="709"/>
      <w:jc w:val="center"/>
    </w:pPr>
    <w:rPr>
      <w:b/>
      <w:szCs w:val="20"/>
    </w:rPr>
  </w:style>
  <w:style w:type="character" w:styleId="883" w:customStyle="1">
    <w:name w:val="Название Знак"/>
    <w:link w:val="882"/>
    <w:rPr>
      <w:b/>
      <w:sz w:val="24"/>
      <w:lang w:val="ru-RU" w:eastAsia="ru-RU" w:bidi="ar-SA"/>
    </w:rPr>
  </w:style>
  <w:style w:type="character" w:styleId="884">
    <w:name w:val="Strong"/>
    <w:uiPriority w:val="22"/>
    <w:qFormat/>
    <w:rPr>
      <w:b/>
      <w:bCs/>
    </w:rPr>
  </w:style>
  <w:style w:type="character" w:styleId="885">
    <w:name w:val="Emphasis"/>
    <w:uiPriority w:val="20"/>
    <w:qFormat/>
    <w:rPr>
      <w:i/>
      <w:iCs/>
    </w:rPr>
  </w:style>
  <w:style w:type="paragraph" w:styleId="886" w:customStyle="1">
    <w:name w:val="Standard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eastAsia="Segoe UI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not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325</cp:revision>
  <dcterms:created xsi:type="dcterms:W3CDTF">2009-04-08T02:19:00Z</dcterms:created>
  <dcterms:modified xsi:type="dcterms:W3CDTF">2025-06-24T03:19:28Z</dcterms:modified>
  <cp:version>917504</cp:version>
</cp:coreProperties>
</file>